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2F3" w:rsidRDefault="005312F3" w:rsidP="005312F3">
      <w:pPr>
        <w:spacing w:after="300" w:line="300" w:lineRule="atLeast"/>
      </w:pPr>
      <w:r>
        <w:fldChar w:fldCharType="begin"/>
      </w:r>
      <w:r>
        <w:instrText xml:space="preserve"> HYPERLINK "http://aspcapro.org/webinar/2014-03-18/panleuk-101" </w:instrText>
      </w:r>
      <w:r>
        <w:fldChar w:fldCharType="separate"/>
      </w:r>
      <w:r>
        <w:rPr>
          <w:rStyle w:val="Hyperlink"/>
          <w:sz w:val="24"/>
          <w:szCs w:val="24"/>
          <w:lang w:val="en-US" w:eastAsia="en-AU"/>
        </w:rPr>
        <w:t>http://aspcapro.org/webinar/2014-03-18/panleuk-101</w:t>
      </w:r>
      <w:r>
        <w:fldChar w:fldCharType="end"/>
      </w:r>
    </w:p>
    <w:p w:rsidR="005312F3" w:rsidRDefault="005312F3" w:rsidP="005312F3"/>
    <w:p w:rsidR="005312F3" w:rsidRDefault="005312F3" w:rsidP="005312F3">
      <w:pPr>
        <w:pStyle w:val="Heading1"/>
        <w:numPr>
          <w:ilvl w:val="0"/>
          <w:numId w:val="0"/>
        </w:numPr>
        <w:ind w:left="360" w:hanging="360"/>
        <w:rPr>
          <w:rFonts w:eastAsia="Times New Roman"/>
          <w:b/>
          <w:bCs/>
          <w:color w:val="000000"/>
          <w:sz w:val="22"/>
          <w:szCs w:val="22"/>
          <w:lang w:eastAsia="en-AU"/>
        </w:rPr>
      </w:pPr>
      <w:bookmarkStart w:id="0" w:name="_Toc475184417"/>
      <w:r>
        <w:rPr>
          <w:rFonts w:eastAsia="Times New Roman"/>
          <w:b/>
          <w:bCs/>
          <w:color w:val="000000"/>
          <w:sz w:val="22"/>
          <w:szCs w:val="22"/>
          <w:lang w:eastAsia="en-AU"/>
        </w:rPr>
        <w:t>General Information</w:t>
      </w:r>
      <w:bookmarkEnd w:id="0"/>
    </w:p>
    <w:p w:rsidR="005312F3" w:rsidRDefault="005312F3" w:rsidP="005312F3">
      <w:pPr>
        <w:pStyle w:val="Heading2"/>
        <w:rPr>
          <w:rFonts w:eastAsia="Times New Roman"/>
          <w:color w:val="000000"/>
          <w:sz w:val="20"/>
          <w:szCs w:val="20"/>
          <w:lang w:eastAsia="en-AU"/>
        </w:rPr>
      </w:pPr>
      <w:bookmarkStart w:id="1" w:name="_Toc475184418"/>
      <w:bookmarkEnd w:id="1"/>
    </w:p>
    <w:p w:rsidR="005312F3" w:rsidRDefault="005312F3" w:rsidP="005312F3">
      <w:pPr>
        <w:pStyle w:val="Heading2"/>
        <w:rPr>
          <w:rFonts w:eastAsia="Times New Roman"/>
          <w:color w:val="000000"/>
          <w:sz w:val="20"/>
          <w:szCs w:val="20"/>
          <w:lang w:eastAsia="en-AU"/>
        </w:rPr>
      </w:pPr>
      <w:r>
        <w:rPr>
          <w:rFonts w:eastAsia="Times New Roman"/>
          <w:color w:val="000000"/>
          <w:sz w:val="20"/>
          <w:szCs w:val="20"/>
          <w:lang w:eastAsia="en-AU"/>
        </w:rPr>
        <w:t>What is FPV?</w:t>
      </w:r>
    </w:p>
    <w:p w:rsidR="005312F3" w:rsidRDefault="005312F3" w:rsidP="005312F3">
      <w:pPr>
        <w:shd w:val="clear" w:color="auto" w:fill="FFFFFF"/>
        <w:spacing w:after="300"/>
        <w:rPr>
          <w:rFonts w:ascii="Arial" w:hAnsi="Arial" w:cs="Arial"/>
          <w:color w:val="000000"/>
          <w:sz w:val="20"/>
          <w:szCs w:val="20"/>
        </w:rPr>
      </w:pPr>
      <w:proofErr w:type="spellStart"/>
      <w:r>
        <w:rPr>
          <w:rFonts w:ascii="Arial" w:hAnsi="Arial" w:cs="Arial"/>
          <w:color w:val="000000"/>
          <w:sz w:val="20"/>
          <w:szCs w:val="20"/>
        </w:rPr>
        <w:t>Panleukopenia</w:t>
      </w:r>
      <w:proofErr w:type="spellEnd"/>
      <w:r>
        <w:rPr>
          <w:rFonts w:ascii="Arial" w:hAnsi="Arial" w:cs="Arial"/>
          <w:color w:val="000000"/>
          <w:sz w:val="20"/>
          <w:szCs w:val="20"/>
        </w:rPr>
        <w:t xml:space="preserve"> (aka Feline distemper, </w:t>
      </w:r>
      <w:proofErr w:type="spellStart"/>
      <w:r>
        <w:rPr>
          <w:rFonts w:ascii="Arial" w:hAnsi="Arial" w:cs="Arial"/>
          <w:color w:val="000000"/>
          <w:sz w:val="20"/>
          <w:szCs w:val="20"/>
        </w:rPr>
        <w:t>panleukopenia</w:t>
      </w:r>
      <w:proofErr w:type="spellEnd"/>
      <w:r>
        <w:rPr>
          <w:rFonts w:ascii="Arial" w:hAnsi="Arial" w:cs="Arial"/>
          <w:color w:val="000000"/>
          <w:sz w:val="20"/>
          <w:szCs w:val="20"/>
        </w:rPr>
        <w:t>, feline parvovirus) is a highly contagious viral disease that is often fatal to infected cats.  Although FPV can be a problem year-round, the warmer months bring more kittens and a greater risk of the disease.  FPV severity, the ease with which it is spread and its persistence in the environment, make it a significant infectious concern for all cats in animal shelters.</w:t>
      </w:r>
    </w:p>
    <w:p w:rsidR="005312F3" w:rsidRDefault="005312F3" w:rsidP="005312F3">
      <w:pPr>
        <w:pStyle w:val="Heading2"/>
        <w:rPr>
          <w:rFonts w:eastAsia="Times New Roman"/>
          <w:color w:val="000000"/>
          <w:sz w:val="20"/>
          <w:szCs w:val="20"/>
          <w:lang w:eastAsia="en-AU"/>
        </w:rPr>
      </w:pPr>
      <w:bookmarkStart w:id="2" w:name="_Toc475184419"/>
      <w:r>
        <w:rPr>
          <w:rFonts w:eastAsia="Times New Roman"/>
          <w:color w:val="000000"/>
          <w:sz w:val="20"/>
          <w:szCs w:val="20"/>
          <w:lang w:eastAsia="en-AU"/>
        </w:rPr>
        <w:t>How to protect cats against FPV</w:t>
      </w:r>
      <w:bookmarkEnd w:id="2"/>
    </w:p>
    <w:p w:rsidR="005312F3" w:rsidRDefault="005312F3" w:rsidP="005312F3">
      <w:pPr>
        <w:shd w:val="clear" w:color="auto" w:fill="FFFFFF"/>
        <w:spacing w:after="300"/>
        <w:rPr>
          <w:rFonts w:ascii="Arial" w:hAnsi="Arial" w:cs="Arial"/>
          <w:color w:val="000000"/>
          <w:sz w:val="20"/>
          <w:szCs w:val="20"/>
          <w:lang w:eastAsia="en-AU"/>
        </w:rPr>
      </w:pPr>
      <w:r>
        <w:rPr>
          <w:rFonts w:ascii="Arial" w:hAnsi="Arial" w:cs="Arial"/>
          <w:color w:val="000000"/>
          <w:sz w:val="20"/>
          <w:szCs w:val="20"/>
          <w:lang w:eastAsia="en-AU"/>
        </w:rPr>
        <w:t>FPV is part of t</w:t>
      </w:r>
      <w:bookmarkStart w:id="3" w:name="_GoBack"/>
      <w:bookmarkEnd w:id="3"/>
      <w:r>
        <w:rPr>
          <w:rFonts w:ascii="Arial" w:hAnsi="Arial" w:cs="Arial"/>
          <w:color w:val="000000"/>
          <w:sz w:val="20"/>
          <w:szCs w:val="20"/>
          <w:lang w:eastAsia="en-AU"/>
        </w:rPr>
        <w:t>he core vaccine series recommended for all cats which provides excellent protection. Adult cats that are current on their vaccinations are at minimal risk for this disease.</w:t>
      </w:r>
    </w:p>
    <w:p w:rsidR="005312F3" w:rsidRDefault="005312F3" w:rsidP="005312F3">
      <w:pPr>
        <w:pStyle w:val="Heading2"/>
        <w:rPr>
          <w:rFonts w:eastAsia="Times New Roman"/>
          <w:color w:val="000000"/>
          <w:sz w:val="20"/>
          <w:szCs w:val="20"/>
          <w:lang w:eastAsia="en-AU"/>
        </w:rPr>
      </w:pPr>
      <w:bookmarkStart w:id="4" w:name="_Toc475184420"/>
      <w:r>
        <w:rPr>
          <w:rFonts w:eastAsia="Times New Roman"/>
          <w:color w:val="000000"/>
          <w:sz w:val="20"/>
          <w:szCs w:val="20"/>
          <w:lang w:eastAsia="en-AU"/>
        </w:rPr>
        <w:t>Risk status</w:t>
      </w:r>
      <w:bookmarkEnd w:id="4"/>
      <w:r>
        <w:rPr>
          <w:rFonts w:eastAsia="Times New Roman"/>
          <w:color w:val="000000"/>
          <w:sz w:val="20"/>
          <w:szCs w:val="20"/>
          <w:lang w:eastAsia="en-AU"/>
        </w:rPr>
        <w:t xml:space="preserve"> </w:t>
      </w:r>
    </w:p>
    <w:p w:rsidR="005312F3" w:rsidRDefault="005312F3" w:rsidP="005312F3">
      <w:pPr>
        <w:pStyle w:val="ListParagraph"/>
        <w:numPr>
          <w:ilvl w:val="0"/>
          <w:numId w:val="2"/>
        </w:numPr>
        <w:shd w:val="clear" w:color="auto" w:fill="FFFFFF"/>
        <w:spacing w:after="300" w:line="240" w:lineRule="auto"/>
        <w:rPr>
          <w:rFonts w:ascii="Arial" w:hAnsi="Arial" w:cs="Arial"/>
          <w:color w:val="000000"/>
          <w:sz w:val="20"/>
          <w:szCs w:val="20"/>
          <w:lang w:val="en-US" w:eastAsia="en-AU"/>
        </w:rPr>
      </w:pPr>
      <w:r>
        <w:rPr>
          <w:rFonts w:ascii="Arial" w:hAnsi="Arial" w:cs="Arial"/>
          <w:color w:val="000000"/>
          <w:sz w:val="20"/>
          <w:szCs w:val="20"/>
          <w:lang w:eastAsia="en-AU"/>
        </w:rPr>
        <w:t xml:space="preserve">kittens are the highest risk group </w:t>
      </w:r>
      <w:r>
        <w:rPr>
          <w:rFonts w:ascii="Arial" w:hAnsi="Arial" w:cs="Arial"/>
          <w:color w:val="000000"/>
          <w:sz w:val="20"/>
          <w:szCs w:val="20"/>
          <w:lang w:val="en-US" w:eastAsia="en-AU"/>
        </w:rPr>
        <w:t>as maternal antibodies can interfere with vaccination response .To achieve the best possible protection repeat vaccination (with MLV modified live vaccine) is recommended for all kittens at not less than monthly intervals until they are 20 weeks of age.</w:t>
      </w:r>
    </w:p>
    <w:p w:rsidR="005312F3" w:rsidRDefault="005312F3" w:rsidP="005312F3">
      <w:pPr>
        <w:pStyle w:val="ListParagraph"/>
        <w:numPr>
          <w:ilvl w:val="0"/>
          <w:numId w:val="2"/>
        </w:numPr>
        <w:shd w:val="clear" w:color="auto" w:fill="FFFFFF"/>
        <w:spacing w:after="300" w:line="240" w:lineRule="auto"/>
        <w:rPr>
          <w:rFonts w:ascii="Arial" w:hAnsi="Arial" w:cs="Arial"/>
          <w:color w:val="000000"/>
          <w:sz w:val="20"/>
          <w:szCs w:val="20"/>
          <w:lang w:val="en-US" w:eastAsia="en-AU"/>
        </w:rPr>
      </w:pPr>
      <w:proofErr w:type="gramStart"/>
      <w:r>
        <w:rPr>
          <w:rFonts w:ascii="Arial" w:hAnsi="Arial" w:cs="Arial"/>
          <w:color w:val="000000"/>
          <w:sz w:val="20"/>
          <w:szCs w:val="20"/>
          <w:lang w:eastAsia="en-AU"/>
        </w:rPr>
        <w:t>unvaccinated</w:t>
      </w:r>
      <w:proofErr w:type="gramEnd"/>
      <w:r>
        <w:rPr>
          <w:rFonts w:ascii="Arial" w:hAnsi="Arial" w:cs="Arial"/>
          <w:color w:val="000000"/>
          <w:sz w:val="20"/>
          <w:szCs w:val="20"/>
          <w:lang w:eastAsia="en-AU"/>
        </w:rPr>
        <w:t xml:space="preserve"> adult cats are also at high risk and are vaccinated immediately on entry to our shelter with modified live vaccine.</w:t>
      </w:r>
    </w:p>
    <w:p w:rsidR="005312F3" w:rsidRDefault="005312F3" w:rsidP="005312F3">
      <w:pPr>
        <w:pStyle w:val="ListParagraph"/>
        <w:numPr>
          <w:ilvl w:val="0"/>
          <w:numId w:val="2"/>
        </w:numPr>
        <w:shd w:val="clear" w:color="auto" w:fill="FFFFFF"/>
        <w:spacing w:after="300" w:line="240" w:lineRule="auto"/>
        <w:rPr>
          <w:rFonts w:ascii="Arial" w:hAnsi="Arial" w:cs="Arial"/>
          <w:color w:val="000000"/>
          <w:sz w:val="20"/>
          <w:szCs w:val="20"/>
          <w:lang w:val="en-US" w:eastAsia="en-AU"/>
        </w:rPr>
      </w:pPr>
      <w:proofErr w:type="gramStart"/>
      <w:r>
        <w:rPr>
          <w:rFonts w:ascii="Arial" w:hAnsi="Arial" w:cs="Arial"/>
          <w:color w:val="000000"/>
          <w:sz w:val="20"/>
          <w:szCs w:val="20"/>
          <w:lang w:eastAsia="en-AU"/>
        </w:rPr>
        <w:t>immunocompromised</w:t>
      </w:r>
      <w:proofErr w:type="gramEnd"/>
      <w:r>
        <w:rPr>
          <w:rFonts w:ascii="Arial" w:hAnsi="Arial" w:cs="Arial"/>
          <w:color w:val="000000"/>
          <w:sz w:val="20"/>
          <w:szCs w:val="20"/>
          <w:lang w:eastAsia="en-AU"/>
        </w:rPr>
        <w:t xml:space="preserve"> cats (for example due to chemotherapy , cortisone therapy, feline immunodeficiency virus(FIV/aids) are potentially vulnerable .</w:t>
      </w:r>
    </w:p>
    <w:p w:rsidR="005312F3" w:rsidRDefault="005312F3" w:rsidP="005312F3">
      <w:pPr>
        <w:pStyle w:val="ListParagraph"/>
        <w:numPr>
          <w:ilvl w:val="0"/>
          <w:numId w:val="2"/>
        </w:numPr>
        <w:shd w:val="clear" w:color="auto" w:fill="FFFFFF"/>
        <w:spacing w:after="300" w:line="240" w:lineRule="auto"/>
        <w:rPr>
          <w:rFonts w:ascii="Arial" w:hAnsi="Arial" w:cs="Arial"/>
          <w:color w:val="000000"/>
          <w:sz w:val="20"/>
          <w:szCs w:val="20"/>
          <w:lang w:val="en-US" w:eastAsia="en-AU"/>
        </w:rPr>
      </w:pPr>
      <w:r>
        <w:rPr>
          <w:rFonts w:ascii="Arial" w:hAnsi="Arial" w:cs="Arial"/>
          <w:color w:val="000000"/>
          <w:sz w:val="20"/>
          <w:szCs w:val="20"/>
          <w:lang w:val="en-US" w:eastAsia="en-AU"/>
        </w:rPr>
        <w:t>adult vaccinated cats are considered very low risk-our cattery cats fall into this category</w:t>
      </w:r>
    </w:p>
    <w:p w:rsidR="005312F3" w:rsidRDefault="005312F3" w:rsidP="005312F3">
      <w:pPr>
        <w:pStyle w:val="Heading2"/>
        <w:rPr>
          <w:rFonts w:eastAsia="Times New Roman"/>
          <w:sz w:val="20"/>
          <w:szCs w:val="20"/>
        </w:rPr>
      </w:pPr>
      <w:bookmarkStart w:id="5" w:name="_Toc475184421"/>
      <w:r>
        <w:rPr>
          <w:rFonts w:eastAsia="Times New Roman"/>
          <w:sz w:val="20"/>
          <w:szCs w:val="20"/>
        </w:rPr>
        <w:t>How is FPV spread?</w:t>
      </w:r>
      <w:bookmarkEnd w:id="5"/>
    </w:p>
    <w:p w:rsidR="005312F3" w:rsidRDefault="005312F3" w:rsidP="005312F3">
      <w:pPr>
        <w:pStyle w:val="ListParagraph"/>
        <w:numPr>
          <w:ilvl w:val="0"/>
          <w:numId w:val="3"/>
        </w:numPr>
        <w:rPr>
          <w:rFonts w:ascii="Arial" w:hAnsi="Arial" w:cs="Arial"/>
          <w:sz w:val="20"/>
          <w:szCs w:val="20"/>
        </w:rPr>
      </w:pPr>
      <w:r>
        <w:rPr>
          <w:rFonts w:ascii="Arial" w:hAnsi="Arial" w:cs="Arial"/>
          <w:color w:val="000000"/>
          <w:sz w:val="20"/>
          <w:szCs w:val="20"/>
        </w:rPr>
        <w:t>The virus (like the canine parvo virus) is highly resistant in the environment and can persists for up to a year –this is why cleaning and disinfection (using the right products) is critical</w:t>
      </w:r>
    </w:p>
    <w:p w:rsidR="005312F3" w:rsidRDefault="005312F3" w:rsidP="005312F3">
      <w:pPr>
        <w:pStyle w:val="ListParagraph"/>
        <w:numPr>
          <w:ilvl w:val="0"/>
          <w:numId w:val="3"/>
        </w:numPr>
        <w:rPr>
          <w:rFonts w:ascii="Arial" w:hAnsi="Arial" w:cs="Arial"/>
          <w:color w:val="000000"/>
          <w:sz w:val="20"/>
          <w:szCs w:val="20"/>
        </w:rPr>
      </w:pPr>
      <w:proofErr w:type="gramStart"/>
      <w:r>
        <w:rPr>
          <w:rFonts w:ascii="Arial" w:hAnsi="Arial" w:cs="Arial"/>
          <w:color w:val="000000"/>
          <w:sz w:val="20"/>
          <w:szCs w:val="20"/>
        </w:rPr>
        <w:t>virus</w:t>
      </w:r>
      <w:proofErr w:type="gramEnd"/>
      <w:r>
        <w:rPr>
          <w:rFonts w:ascii="Arial" w:hAnsi="Arial" w:cs="Arial"/>
          <w:color w:val="000000"/>
          <w:sz w:val="20"/>
          <w:szCs w:val="20"/>
        </w:rPr>
        <w:t xml:space="preserve"> is spread from infected cats (which may or may not show signs of illness) via direct (cat-cat) and indirect contact. It is readily spread by hands, clothes and objects</w:t>
      </w:r>
      <w:r>
        <w:rPr>
          <w:rFonts w:ascii="Arial" w:hAnsi="Arial" w:cs="Arial"/>
          <w:color w:val="000000"/>
          <w:sz w:val="20"/>
          <w:szCs w:val="20"/>
          <w:shd w:val="clear" w:color="auto" w:fill="FFFFFF"/>
        </w:rPr>
        <w:t xml:space="preserve"> such as utensils, toys and furniture.</w:t>
      </w:r>
    </w:p>
    <w:p w:rsidR="005312F3" w:rsidRDefault="005312F3" w:rsidP="005312F3">
      <w:pPr>
        <w:pStyle w:val="Heading2"/>
        <w:rPr>
          <w:rFonts w:eastAsia="Times New Roman"/>
          <w:color w:val="000000"/>
          <w:sz w:val="20"/>
          <w:szCs w:val="20"/>
        </w:rPr>
      </w:pPr>
      <w:bookmarkStart w:id="6" w:name="_Toc475184422"/>
      <w:r>
        <w:rPr>
          <w:rFonts w:eastAsia="Times New Roman"/>
          <w:color w:val="000000"/>
          <w:sz w:val="20"/>
          <w:szCs w:val="20"/>
        </w:rPr>
        <w:t>What are the signs of FPV?</w:t>
      </w:r>
      <w:bookmarkEnd w:id="6"/>
    </w:p>
    <w:p w:rsidR="005312F3" w:rsidRDefault="005312F3" w:rsidP="005312F3">
      <w:pPr>
        <w:shd w:val="clear" w:color="auto" w:fill="FFFFFF"/>
        <w:rPr>
          <w:rFonts w:ascii="Arial" w:hAnsi="Arial" w:cs="Arial"/>
          <w:color w:val="000000"/>
          <w:sz w:val="20"/>
          <w:szCs w:val="20"/>
          <w:lang w:eastAsia="en-AU"/>
        </w:rPr>
      </w:pPr>
      <w:r>
        <w:rPr>
          <w:rFonts w:ascii="Arial" w:hAnsi="Arial" w:cs="Arial"/>
          <w:color w:val="000000"/>
          <w:sz w:val="20"/>
          <w:szCs w:val="20"/>
          <w:lang w:eastAsia="en-AU"/>
        </w:rPr>
        <w:t>Signs include:</w:t>
      </w:r>
    </w:p>
    <w:p w:rsidR="005312F3" w:rsidRDefault="005312F3" w:rsidP="005312F3">
      <w:pPr>
        <w:shd w:val="clear" w:color="auto" w:fill="FFFFFF"/>
        <w:rPr>
          <w:rFonts w:ascii="Arial" w:hAnsi="Arial" w:cs="Arial"/>
          <w:color w:val="000000"/>
          <w:sz w:val="20"/>
          <w:szCs w:val="20"/>
          <w:lang w:eastAsia="en-AU"/>
        </w:rPr>
      </w:pP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diarrhoea (mild to sometimes bloody)</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vomiting</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proofErr w:type="spellStart"/>
      <w:r>
        <w:rPr>
          <w:rFonts w:ascii="Arial" w:hAnsi="Arial" w:cs="Arial"/>
          <w:color w:val="000000"/>
          <w:sz w:val="20"/>
          <w:szCs w:val="20"/>
        </w:rPr>
        <w:t>Inappetance</w:t>
      </w:r>
      <w:proofErr w:type="spellEnd"/>
      <w:r>
        <w:rPr>
          <w:rFonts w:ascii="Arial" w:hAnsi="Arial" w:cs="Arial"/>
          <w:color w:val="000000"/>
          <w:sz w:val="20"/>
          <w:szCs w:val="20"/>
        </w:rPr>
        <w:t xml:space="preserve"> (loss of appetite / not eating)</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lethargy/depression</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fever</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weakness</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dehydration</w:t>
      </w:r>
    </w:p>
    <w:p w:rsidR="005312F3" w:rsidRDefault="005312F3" w:rsidP="005312F3">
      <w:pPr>
        <w:pStyle w:val="ListParagraph"/>
        <w:numPr>
          <w:ilvl w:val="0"/>
          <w:numId w:val="4"/>
        </w:numPr>
        <w:shd w:val="clear" w:color="auto" w:fill="FFFFFF"/>
        <w:spacing w:after="300" w:line="240" w:lineRule="auto"/>
        <w:rPr>
          <w:rFonts w:ascii="Arial" w:hAnsi="Arial" w:cs="Arial"/>
          <w:color w:val="000000"/>
          <w:sz w:val="20"/>
          <w:szCs w:val="20"/>
          <w:lang w:eastAsia="en-AU"/>
        </w:rPr>
      </w:pPr>
      <w:r>
        <w:rPr>
          <w:rFonts w:ascii="Arial" w:hAnsi="Arial" w:cs="Arial"/>
          <w:color w:val="000000"/>
          <w:sz w:val="20"/>
          <w:szCs w:val="20"/>
          <w:lang w:eastAsia="en-AU"/>
        </w:rPr>
        <w:t>death (sometimes sudden)</w:t>
      </w:r>
    </w:p>
    <w:p w:rsidR="005312F3" w:rsidRDefault="005312F3" w:rsidP="005312F3">
      <w:pPr>
        <w:shd w:val="clear" w:color="auto" w:fill="FFFFFF"/>
        <w:spacing w:after="300"/>
        <w:rPr>
          <w:rFonts w:ascii="Arial" w:hAnsi="Arial" w:cs="Arial"/>
          <w:i/>
          <w:iCs/>
          <w:color w:val="000000"/>
          <w:sz w:val="20"/>
          <w:szCs w:val="20"/>
          <w:lang w:eastAsia="en-AU"/>
        </w:rPr>
      </w:pPr>
      <w:r>
        <w:rPr>
          <w:rFonts w:ascii="Arial" w:hAnsi="Arial" w:cs="Arial"/>
          <w:i/>
          <w:iCs/>
          <w:color w:val="000000"/>
          <w:sz w:val="20"/>
          <w:szCs w:val="20"/>
          <w:lang w:eastAsia="en-AU"/>
        </w:rPr>
        <w:t>Note: Diarrhoea in an otherwise bright, alert, eating, drinking kitten is more likely due to diet change, stress, parasites, or dietary indiscretion.</w:t>
      </w:r>
    </w:p>
    <w:p w:rsidR="005312F3" w:rsidRDefault="005312F3" w:rsidP="005312F3">
      <w:pPr>
        <w:pStyle w:val="Heading2"/>
        <w:rPr>
          <w:rFonts w:eastAsia="Times New Roman"/>
          <w:color w:val="000000"/>
          <w:sz w:val="20"/>
          <w:szCs w:val="20"/>
          <w:lang w:eastAsia="en-AU"/>
        </w:rPr>
      </w:pPr>
      <w:bookmarkStart w:id="7" w:name="_Toc475184423"/>
      <w:r>
        <w:rPr>
          <w:rFonts w:eastAsia="Times New Roman"/>
          <w:color w:val="000000"/>
          <w:sz w:val="20"/>
          <w:szCs w:val="20"/>
          <w:lang w:eastAsia="en-AU"/>
        </w:rPr>
        <w:t>Incubation &amp; Contagious period</w:t>
      </w:r>
      <w:bookmarkEnd w:id="7"/>
    </w:p>
    <w:p w:rsidR="005312F3" w:rsidRDefault="005312F3" w:rsidP="005312F3">
      <w:pPr>
        <w:rPr>
          <w:rFonts w:ascii="Arial" w:hAnsi="Arial" w:cs="Arial"/>
          <w:color w:val="000000"/>
          <w:sz w:val="20"/>
          <w:szCs w:val="20"/>
          <w:lang w:eastAsia="en-AU"/>
        </w:rPr>
      </w:pPr>
    </w:p>
    <w:p w:rsidR="005312F3" w:rsidRDefault="005312F3" w:rsidP="005312F3">
      <w:pPr>
        <w:pStyle w:val="ListParagraph"/>
        <w:numPr>
          <w:ilvl w:val="0"/>
          <w:numId w:val="5"/>
        </w:numPr>
        <w:rPr>
          <w:rFonts w:ascii="Arial" w:hAnsi="Arial" w:cs="Arial"/>
          <w:color w:val="000000"/>
          <w:sz w:val="20"/>
          <w:szCs w:val="20"/>
        </w:rPr>
      </w:pPr>
      <w:r>
        <w:rPr>
          <w:rFonts w:ascii="Arial" w:hAnsi="Arial" w:cs="Arial"/>
          <w:color w:val="000000"/>
          <w:sz w:val="20"/>
          <w:szCs w:val="20"/>
        </w:rPr>
        <w:t>Symptoms usually develop 5-7 days after exposure, but the range is 2-14 days</w:t>
      </w:r>
    </w:p>
    <w:p w:rsidR="005312F3" w:rsidRDefault="005312F3" w:rsidP="005312F3">
      <w:pPr>
        <w:pStyle w:val="ListParagraph"/>
        <w:numPr>
          <w:ilvl w:val="0"/>
          <w:numId w:val="5"/>
        </w:numPr>
      </w:pPr>
      <w:r w:rsidRPr="005312F3">
        <w:rPr>
          <w:rFonts w:ascii="Arial" w:hAnsi="Arial" w:cs="Arial"/>
          <w:color w:val="000000"/>
          <w:sz w:val="20"/>
          <w:szCs w:val="20"/>
        </w:rPr>
        <w:t>Infectious period can be 2-3 days before signs appear and up to six weeks following recovery (so they may be contagious before symptoms start and for a period of time after they resolve)</w:t>
      </w:r>
    </w:p>
    <w:p w:rsidR="00A47CC6" w:rsidRDefault="00A47CC6"/>
    <w:sectPr w:rsidR="00A47C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86BC3"/>
    <w:multiLevelType w:val="hybridMultilevel"/>
    <w:tmpl w:val="B72CAB3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1D7C661E"/>
    <w:multiLevelType w:val="hybridMultilevel"/>
    <w:tmpl w:val="E18AE6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nsid w:val="22861462"/>
    <w:multiLevelType w:val="hybridMultilevel"/>
    <w:tmpl w:val="4FFE542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nsid w:val="32425BF7"/>
    <w:multiLevelType w:val="hybridMultilevel"/>
    <w:tmpl w:val="7C263222"/>
    <w:lvl w:ilvl="0" w:tplc="C9322246">
      <w:start w:val="1"/>
      <w:numFmt w:val="decimal"/>
      <w:pStyle w:val="Heading1"/>
      <w:lvlText w:val="%1."/>
      <w:lvlJc w:val="left"/>
      <w:pPr>
        <w:ind w:left="360" w:hanging="360"/>
      </w:pPr>
      <w:rPr>
        <w:color w:val="auto"/>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nsid w:val="73CC1A5C"/>
    <w:multiLevelType w:val="hybridMultilevel"/>
    <w:tmpl w:val="B5DEB682"/>
    <w:lvl w:ilvl="0" w:tplc="BCC67DC6">
      <w:start w:val="1"/>
      <w:numFmt w:val="bullet"/>
      <w:lvlText w:val=""/>
      <w:lvlJc w:val="left"/>
      <w:pPr>
        <w:ind w:left="360" w:hanging="360"/>
      </w:pPr>
      <w:rPr>
        <w:rFonts w:ascii="Symbol" w:eastAsia="Times New Roman" w:hAnsi="Symbol" w:cs="Aria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2F3"/>
    <w:rsid w:val="005312F3"/>
    <w:rsid w:val="00A47C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2F3"/>
    <w:pPr>
      <w:spacing w:after="0" w:line="240" w:lineRule="auto"/>
    </w:pPr>
    <w:rPr>
      <w:rFonts w:ascii="Calibri" w:hAnsi="Calibri" w:cs="Times New Roman"/>
    </w:rPr>
  </w:style>
  <w:style w:type="paragraph" w:styleId="Heading1">
    <w:name w:val="heading 1"/>
    <w:basedOn w:val="Normal"/>
    <w:link w:val="Heading1Char"/>
    <w:uiPriority w:val="9"/>
    <w:qFormat/>
    <w:rsid w:val="005312F3"/>
    <w:pPr>
      <w:keepNext/>
      <w:numPr>
        <w:numId w:val="1"/>
      </w:numPr>
      <w:spacing w:before="240" w:line="252" w:lineRule="auto"/>
      <w:outlineLvl w:val="0"/>
    </w:pPr>
    <w:rPr>
      <w:rFonts w:ascii="Arial" w:hAnsi="Arial" w:cs="Arial"/>
      <w:kern w:val="36"/>
      <w:sz w:val="32"/>
      <w:szCs w:val="32"/>
    </w:rPr>
  </w:style>
  <w:style w:type="paragraph" w:styleId="Heading2">
    <w:name w:val="heading 2"/>
    <w:basedOn w:val="Normal"/>
    <w:link w:val="Heading2Char"/>
    <w:uiPriority w:val="9"/>
    <w:semiHidden/>
    <w:unhideWhenUsed/>
    <w:qFormat/>
    <w:rsid w:val="005312F3"/>
    <w:pPr>
      <w:keepNext/>
      <w:spacing w:before="40" w:line="252" w:lineRule="auto"/>
      <w:outlineLvl w:val="1"/>
    </w:pPr>
    <w:rPr>
      <w:rFonts w:ascii="Arial" w:hAnsi="Arial" w:cs="Arial"/>
      <w:b/>
      <w:bCs/>
      <w:color w:val="0D0D0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2F3"/>
    <w:rPr>
      <w:rFonts w:ascii="Arial" w:hAnsi="Arial" w:cs="Arial"/>
      <w:kern w:val="36"/>
      <w:sz w:val="32"/>
      <w:szCs w:val="32"/>
    </w:rPr>
  </w:style>
  <w:style w:type="character" w:customStyle="1" w:styleId="Heading2Char">
    <w:name w:val="Heading 2 Char"/>
    <w:basedOn w:val="DefaultParagraphFont"/>
    <w:link w:val="Heading2"/>
    <w:uiPriority w:val="9"/>
    <w:semiHidden/>
    <w:rsid w:val="005312F3"/>
    <w:rPr>
      <w:rFonts w:ascii="Arial" w:hAnsi="Arial" w:cs="Arial"/>
      <w:b/>
      <w:bCs/>
      <w:color w:val="0D0D0D"/>
      <w:sz w:val="24"/>
      <w:szCs w:val="24"/>
    </w:rPr>
  </w:style>
  <w:style w:type="character" w:styleId="Hyperlink">
    <w:name w:val="Hyperlink"/>
    <w:basedOn w:val="DefaultParagraphFont"/>
    <w:uiPriority w:val="99"/>
    <w:semiHidden/>
    <w:unhideWhenUsed/>
    <w:rsid w:val="005312F3"/>
    <w:rPr>
      <w:color w:val="0000FF"/>
      <w:u w:val="single"/>
    </w:rPr>
  </w:style>
  <w:style w:type="paragraph" w:styleId="ListParagraph">
    <w:name w:val="List Paragraph"/>
    <w:basedOn w:val="Normal"/>
    <w:uiPriority w:val="34"/>
    <w:qFormat/>
    <w:rsid w:val="005312F3"/>
    <w:pPr>
      <w:spacing w:after="160" w:line="252"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2F3"/>
    <w:pPr>
      <w:spacing w:after="0" w:line="240" w:lineRule="auto"/>
    </w:pPr>
    <w:rPr>
      <w:rFonts w:ascii="Calibri" w:hAnsi="Calibri" w:cs="Times New Roman"/>
    </w:rPr>
  </w:style>
  <w:style w:type="paragraph" w:styleId="Heading1">
    <w:name w:val="heading 1"/>
    <w:basedOn w:val="Normal"/>
    <w:link w:val="Heading1Char"/>
    <w:uiPriority w:val="9"/>
    <w:qFormat/>
    <w:rsid w:val="005312F3"/>
    <w:pPr>
      <w:keepNext/>
      <w:numPr>
        <w:numId w:val="1"/>
      </w:numPr>
      <w:spacing w:before="240" w:line="252" w:lineRule="auto"/>
      <w:outlineLvl w:val="0"/>
    </w:pPr>
    <w:rPr>
      <w:rFonts w:ascii="Arial" w:hAnsi="Arial" w:cs="Arial"/>
      <w:kern w:val="36"/>
      <w:sz w:val="32"/>
      <w:szCs w:val="32"/>
    </w:rPr>
  </w:style>
  <w:style w:type="paragraph" w:styleId="Heading2">
    <w:name w:val="heading 2"/>
    <w:basedOn w:val="Normal"/>
    <w:link w:val="Heading2Char"/>
    <w:uiPriority w:val="9"/>
    <w:semiHidden/>
    <w:unhideWhenUsed/>
    <w:qFormat/>
    <w:rsid w:val="005312F3"/>
    <w:pPr>
      <w:keepNext/>
      <w:spacing w:before="40" w:line="252" w:lineRule="auto"/>
      <w:outlineLvl w:val="1"/>
    </w:pPr>
    <w:rPr>
      <w:rFonts w:ascii="Arial" w:hAnsi="Arial" w:cs="Arial"/>
      <w:b/>
      <w:bCs/>
      <w:color w:val="0D0D0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2F3"/>
    <w:rPr>
      <w:rFonts w:ascii="Arial" w:hAnsi="Arial" w:cs="Arial"/>
      <w:kern w:val="36"/>
      <w:sz w:val="32"/>
      <w:szCs w:val="32"/>
    </w:rPr>
  </w:style>
  <w:style w:type="character" w:customStyle="1" w:styleId="Heading2Char">
    <w:name w:val="Heading 2 Char"/>
    <w:basedOn w:val="DefaultParagraphFont"/>
    <w:link w:val="Heading2"/>
    <w:uiPriority w:val="9"/>
    <w:semiHidden/>
    <w:rsid w:val="005312F3"/>
    <w:rPr>
      <w:rFonts w:ascii="Arial" w:hAnsi="Arial" w:cs="Arial"/>
      <w:b/>
      <w:bCs/>
      <w:color w:val="0D0D0D"/>
      <w:sz w:val="24"/>
      <w:szCs w:val="24"/>
    </w:rPr>
  </w:style>
  <w:style w:type="character" w:styleId="Hyperlink">
    <w:name w:val="Hyperlink"/>
    <w:basedOn w:val="DefaultParagraphFont"/>
    <w:uiPriority w:val="99"/>
    <w:semiHidden/>
    <w:unhideWhenUsed/>
    <w:rsid w:val="005312F3"/>
    <w:rPr>
      <w:color w:val="0000FF"/>
      <w:u w:val="single"/>
    </w:rPr>
  </w:style>
  <w:style w:type="paragraph" w:styleId="ListParagraph">
    <w:name w:val="List Paragraph"/>
    <w:basedOn w:val="Normal"/>
    <w:uiPriority w:val="34"/>
    <w:qFormat/>
    <w:rsid w:val="005312F3"/>
    <w:pPr>
      <w:spacing w:after="160" w:line="252"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2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Stadium Australia Operations</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 Sey</dc:creator>
  <cp:lastModifiedBy>Sofi Sey</cp:lastModifiedBy>
  <cp:revision>1</cp:revision>
  <dcterms:created xsi:type="dcterms:W3CDTF">2017-03-10T05:12:00Z</dcterms:created>
  <dcterms:modified xsi:type="dcterms:W3CDTF">2017-03-10T05:14:00Z</dcterms:modified>
</cp:coreProperties>
</file>